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215</w:t>
      </w:r>
    </w:p>
    <w:p>
      <w:r>
        <w:t>Bundesgericht (BGE), 1979-06-29, DE</w:t>
      </w:r>
    </w:p>
    <w:p>
      <w:r>
        <w:rPr>
          <w:b/>
        </w:rPr>
        <w:t xml:space="preserve">Quelle: </w:t>
      </w:r>
      <w:r>
        <w:t>https://mcp.opencaselaw.ch/entscheid/bge_105 II 215</w:t>
      </w:r>
    </w:p>
    <w:p>
      <w:r>
        <w:t>FR: ATF 105 II 215</w:t>
      </w:r>
    </w:p>
    <w:p>
      <w:r>
        <w:t>IT: DTF 105 II 215</w:t>
      </w:r>
    </w:p>
    <w:p>
      <w:pPr>
        <w:pStyle w:val="Heading2"/>
      </w:pPr>
      <w:r>
        <w:t>Regeste</w:t>
      </w:r>
    </w:p>
    <w:p>
      <w:r>
        <w:t>Regeste Scheidungsklage einer im ausländischen Heimatstaat wohnenden schweizerisch-ausländischen Doppelbürgerin beim Richter des schweizerischen Heimatortes. 1. Das Abkommen zwischen der Schweiz und Belgien über die Anerkennung und Vollstreckung von gerichtlichen Entscheidungen und Schiedssprüchen vom 29. April 1959 vermag die Anwendung des NAG nicht auszuschliessen (E. 2). 2. Art. 7g Abs. 1 NAG gilt auch für den im ausländischen Heimatstaat wohnenden schweizerisch-ausländischen Doppelbürger (E. 1 und 4) (Bestätigung der Rechtsprechung).</w:t>
      </w:r>
    </w:p>
    <w:p>
      <w:pPr>
        <w:pStyle w:val="Heading2"/>
      </w:pPr>
      <w:r>
        <w:t>Erwägungen</w:t>
      </w:r>
    </w:p>
    <w:p>
      <w:r>
        <w:rPr>
          <w:b/>
        </w:rPr>
        <w:t>E. 1</w:t>
      </w:r>
    </w:p>
    <w:p>
      <w:r>
        <w:t>Gemäss Art. 7g Abs. 1 NAG kann ein im Ausland wohnender schweizerischer Ehegatte eine Scheidungsklage beim Richter seines Heimatortes anbringen. Diese Bestimmung gilt nach der bundesgerichtlichen Rechtsprechung auch dann, wenn der Kläger Doppelbürger ist und seinen Wohnsitz im andern Heimatstaat hat (vgl. BGE 84 II 469 ff.). In einem späteren Entscheid hat das Bundesgericht freilich beiläufig bemerkt, es möge dahingestellt bleiben, ob die Anwendung des Art. 7g Abs. 1 NAG auf schweizerisch-ausländische Doppelbürger angesichts der sich mehrenden internationalen Zuständigkeitskonflikte als dem wahren Sinne des Gesetzes entsprechend betrachtet werden könne und ob die weite Auslegung der genannten Bestimmung beizubehalten sei oder ob nicht vielmehr bei Wohnsitz des Doppelbürgers im ausländischen Heimatstaat der Gerichtsbarkeit jenes Staates der Vorrang einzuräumen sei ( BGE 89 I 309 ). Der Beklagte macht in erster Linie geltend, einer Anwendung des Art. 7g Abs. 1 NAG auf das von der Klägerin in BGE 105 II 215 S. 217 Horgen eingeleitete Verfahren stehe auf jeden Fall das am 29. April 1959 geschlossene und am 15. Oktober 1962 in Kraft getretene Abkommen zwischen der Schweiz und Belgien über die Anerkennung und Vollstreckung von gerichtlichen Entscheidungen und Schiedssprüchen (SR 0.276.191.721) entgegen; diese Konvention sei dem Willen der beiden Staaten entsprungen, Zuständigkeitskonflikte zu vermeiden und gehe daher den innerstaatlichen Kollisionsnormen vor; Art. 7g Abs. 1 NAG könnte demnach nur dann angewendet werden, wenn das vom schweizerischen Richter zu füllende Urteil in Belgien anerkannt würde, was jedoch gemäss Art. 1 Abs. 1 lit. b und Art. 2 Abs. 1 lit. a des erwähnten Abkommens nicht der Fall sei.</w:t>
      </w:r>
    </w:p>
    <w:p>
      <w:r>
        <w:rPr>
          <w:b/>
        </w:rPr>
        <w:t>E. 2</w:t>
      </w:r>
    </w:p>
    <w:p>
      <w:r>
        <w:t>Das schweizerisch-belgische Abkommen vom 29. April 1959 regelt einzig die Bedingungen, unter denen gerichtliche Entscheide (und Schiedssprüche) des einen Vertragsstaates im andern anerkannt und vollstreckt werden sollen (vgl. die Präambel). Es enthält keine Gerichtsstandsordnung und sieht demnach auch nicht etwa vor, dass die Zuständigkeitsnormen des einen Staates der Frage der Anerkennung der Urteile durch den andern Staat Rechnung zu tragen hätten. Entgegen der Auffassung des Beklagten vermag der Staatsvertrag eine Anwendung der Bestimmungen des NAG somit nicht auszuschliessen (vgl. Art. 34 NAG ).</w:t>
      </w:r>
    </w:p>
    <w:p>
      <w:r>
        <w:rPr>
          <w:b/>
        </w:rPr>
        <w:t>E. 3</w:t>
      </w:r>
    </w:p>
    <w:p>
      <w:r>
        <w:t>Dass die Klägerin auch in Belgien die Scheidung erlangen könnte, ist ohne Belang. Der Beklagte vermag im übrigen nicht darzutun, dass das dortige Recht einen der tiefen Zerrüttung im Sinne von Art. 142 ZGB entsprechenden Scheidungsgrund kennt. Dies ist denn auch offensichtlich nicht der Fall (vgl. Art. 229 ff. des belgischen Bürgerlichen Gesetzbuches, bei BERGMANN/FERID, Internationales Ehe- und Kindschaftsrecht, I. Bd., Belgien S. 33).</w:t>
      </w:r>
    </w:p>
    <w:p>
      <w:r>
        <w:rPr>
          <w:b/>
        </w:rPr>
        <w:t>E. 4</w:t>
      </w:r>
    </w:p>
    <w:p>
      <w:r>
        <w:t>Wie das Obergericht mit Recht ausführt, besteht trotz der in BGE 89 I 309 geäusserten Bedenken kein Anlass zur Änderung der Rechtsprechung zu Art. 7g Abs. 1 NAG (Anwendung auch bei Doppelbürgern), die im Schrifttum zumindest stillschweigend gebilligt wird (vgl. VISCHER, Internationales Privatrecht, in: Schweizerisches Privatrecht, I. Bd. S. 541; STAUFFER, Nachtrag 1977 zur Praxis zum NAG, Anm. 3 zu Art. 7g; SCHNITZER, Handbuch des internationalen Privatrechts, 4. A., I. Bd., S. 377; BÜHLER, Berner Kommentar, Einleitung zur Ehescheidung, N. 132; HINDERLING, Das schweizerische Ehescheidungsrecht, 3. A., S. 192). BGE 105 II 215 S. 218 Die Erwägungen in BGE 84 II 473 ff. haben nach wie vor ihre Gültigkeit. Mit der im Bürgerrechtsgesetz geschaffenen, durch nichts eingeschränkten Möglichkeit der Erklärung, das Schweizer Bürgerrecht beibehalten zu wollen ( Art. 9 Abs. 1 BüG ), wurde in Kauf genommen, dass eine Schweizerin, die bei der Heirat mit einem Ausländer dessen Staatsangehörigkeit erwirbt, zur Doppelbürgerin werden kann und dass dadurch im internationalen Verhältnis Schwierigkeiten entstehen können. Es ist daher nicht Sache der Rechtsprechung, einer schweizerisch-ausländischen Doppelbürgerin, die im ausländischen Heimatstaat wohnt, unter Berufung auf die Vermeidung internationaler Konflikte den schweizerischen Scheidungsgerichtsstand vorzuenthalten oder von ihr - entsprechend der Regelung in Art. 7h Abs. 1 NAG - den Nachweis der Anerkennung des Urteils im ausländischen Wohnsitz- und Heimatstaat zu verlangen. Dem Gesichtspunkt der Anerkennung des Urteils im ausländischen Heimatstaat hat das Bundesgericht in seiner neueren Rechtsprechung übrigens auch im Zusammenhang mit andern eherechtlichen Fragen zu Gunsten der inneren Harmonie der schweizerischen Rechtsordnung immer weniger Bedeutung beigemessen (vgl. BGE 102 Ib 1 ff.; BGE 97 I 389 ff., insbesondere 410; BGE 94 II 65 ff.). Dass sich im vorliegenden Fall auch die Nebenfolgen einer Scheidung nach schweizerischem Recht bestimmen ( Art. 7g Abs. 2 NAG ) und dass der Beklagte als in seinem Heimatstaat wohnender Belgier in der Schweiz ins Recht gefasst werden kann, ist die Folge der bestehenden schweizerischen Rechtsordnung. Der Beklagte hat sich damit abzufinden.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